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BBDE" w14:textId="1DA4CE2E" w:rsidR="00402A41" w:rsidRPr="00D00977" w:rsidRDefault="00465499" w:rsidP="00025CE8">
      <w:pPr>
        <w:tabs>
          <w:tab w:val="center" w:pos="454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47920"/>
          <w:sz w:val="14"/>
          <w:szCs w:val="14"/>
          <w:lang w:val="ka-GE"/>
        </w:rPr>
      </w:pPr>
      <w:r>
        <w:rPr>
          <w:rFonts w:ascii="Times New Roman" w:hAnsi="Times New Roman" w:cs="Times New Roman"/>
          <w:b/>
          <w:bCs/>
          <w:noProof/>
          <w:color w:val="FF6500"/>
          <w:sz w:val="20"/>
          <w:szCs w:val="20"/>
        </w:rPr>
        <w:drawing>
          <wp:inline distT="0" distB="0" distL="0" distR="0" wp14:anchorId="37F237F5" wp14:editId="39E2C061">
            <wp:extent cx="1554480" cy="6104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002" cy="62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3D1F9F" w14:textId="3374F450" w:rsidR="00402A41" w:rsidRDefault="00402A41">
      <w:pPr>
        <w:tabs>
          <w:tab w:val="center" w:pos="4844"/>
          <w:tab w:val="right" w:pos="9689"/>
        </w:tabs>
        <w:spacing w:after="0" w:line="240" w:lineRule="auto"/>
        <w:ind w:hanging="270"/>
        <w:jc w:val="both"/>
        <w:rPr>
          <w:rFonts w:ascii="Times New Roman" w:eastAsia="Calibri" w:hAnsi="Times New Roman" w:cs="Times New Roman"/>
          <w:b/>
          <w:color w:val="F47920"/>
          <w:sz w:val="14"/>
          <w:szCs w:val="14"/>
        </w:rPr>
      </w:pPr>
    </w:p>
    <w:p w14:paraId="74720BA8" w14:textId="1DF5B498" w:rsidR="005F379C" w:rsidRPr="00CF4D15" w:rsidRDefault="00BB18B5" w:rsidP="00EF2DDE">
      <w:pPr>
        <w:spacing w:after="120" w:line="276" w:lineRule="auto"/>
        <w:jc w:val="right"/>
        <w:rPr>
          <w:rFonts w:ascii="Times New Roman" w:eastAsia="Calibri" w:hAnsi="Times New Roman" w:cs="Times New Roman"/>
          <w:b/>
          <w:color w:val="FF6600"/>
          <w:sz w:val="24"/>
          <w:szCs w:val="24"/>
        </w:rPr>
      </w:pPr>
      <w:r w:rsidRPr="00CF4D15">
        <w:rPr>
          <w:rFonts w:ascii="Times New Roman" w:eastAsia="Calibri" w:hAnsi="Times New Roman" w:cs="Times New Roman"/>
          <w:b/>
          <w:color w:val="FF6600"/>
          <w:sz w:val="24"/>
          <w:szCs w:val="24"/>
        </w:rPr>
        <w:t>London</w:t>
      </w:r>
      <w:r w:rsidR="003521E4" w:rsidRPr="00CF4D15">
        <w:rPr>
          <w:rFonts w:ascii="Times New Roman" w:eastAsia="Calibri" w:hAnsi="Times New Roman" w:cs="Times New Roman"/>
          <w:b/>
          <w:color w:val="FF6600"/>
          <w:sz w:val="24"/>
          <w:szCs w:val="24"/>
        </w:rPr>
        <w:t xml:space="preserve">, </w:t>
      </w:r>
      <w:r w:rsidR="00E555D0">
        <w:rPr>
          <w:rFonts w:ascii="Times New Roman" w:eastAsia="Calibri" w:hAnsi="Times New Roman" w:cs="Times New Roman"/>
          <w:b/>
          <w:color w:val="FF6600"/>
          <w:sz w:val="24"/>
          <w:szCs w:val="24"/>
        </w:rPr>
        <w:t>11 August</w:t>
      </w:r>
      <w:r w:rsidR="003521E4" w:rsidRPr="00CF4D15">
        <w:rPr>
          <w:rFonts w:ascii="Times New Roman" w:eastAsia="Calibri" w:hAnsi="Times New Roman" w:cs="Times New Roman"/>
          <w:b/>
          <w:color w:val="FF6600"/>
          <w:sz w:val="24"/>
          <w:szCs w:val="24"/>
        </w:rPr>
        <w:t xml:space="preserve"> 202</w:t>
      </w:r>
      <w:r w:rsidR="00736B2C">
        <w:rPr>
          <w:rFonts w:ascii="Times New Roman" w:eastAsia="Calibri" w:hAnsi="Times New Roman" w:cs="Times New Roman"/>
          <w:b/>
          <w:color w:val="FF6600"/>
          <w:sz w:val="24"/>
          <w:szCs w:val="24"/>
        </w:rPr>
        <w:t>6</w:t>
      </w:r>
    </w:p>
    <w:p w14:paraId="065171D0" w14:textId="77777777" w:rsidR="00EF2DDE" w:rsidRPr="00EF2DDE" w:rsidRDefault="00EF2DDE" w:rsidP="00EF2DDE">
      <w:pPr>
        <w:spacing w:after="120" w:line="276" w:lineRule="auto"/>
        <w:jc w:val="right"/>
        <w:rPr>
          <w:rFonts w:ascii="Times New Roman" w:eastAsia="Calibri" w:hAnsi="Times New Roman" w:cs="Times New Roman"/>
          <w:b/>
          <w:color w:val="FF6600"/>
        </w:rPr>
      </w:pPr>
    </w:p>
    <w:p w14:paraId="63854125" w14:textId="72DB457F" w:rsidR="00EF2DDE" w:rsidRPr="00756531" w:rsidRDefault="00EF2DDE" w:rsidP="003521E4">
      <w:pPr>
        <w:pStyle w:val="bt"/>
        <w:jc w:val="center"/>
        <w:rPr>
          <w:color w:val="FF6500"/>
        </w:rPr>
      </w:pPr>
      <w:r w:rsidRPr="00756531">
        <w:rPr>
          <w:rFonts w:eastAsiaTheme="minorHAnsi"/>
          <w:b/>
          <w:bCs/>
          <w:i/>
          <w:iCs/>
          <w:color w:val="FF6500"/>
          <w:sz w:val="22"/>
          <w:szCs w:val="22"/>
          <w:lang w:val="en-US" w:eastAsia="en-US"/>
        </w:rPr>
        <w:t xml:space="preserve">Lion Finance Group PLC </w:t>
      </w:r>
      <w:r w:rsidR="008F6E90" w:rsidRPr="00756531">
        <w:rPr>
          <w:b/>
          <w:bCs/>
          <w:i/>
          <w:iCs/>
          <w:color w:val="FF6500"/>
        </w:rPr>
        <w:t xml:space="preserve">announces GEL </w:t>
      </w:r>
      <w:r w:rsidR="00C70A14" w:rsidRPr="00756531">
        <w:rPr>
          <w:b/>
          <w:bCs/>
          <w:i/>
          <w:iCs/>
          <w:color w:val="FF6500"/>
        </w:rPr>
        <w:t>5</w:t>
      </w:r>
      <w:r w:rsidR="00E555D0">
        <w:rPr>
          <w:b/>
          <w:bCs/>
          <w:i/>
          <w:iCs/>
          <w:color w:val="FF6500"/>
        </w:rPr>
        <w:t>9</w:t>
      </w:r>
      <w:r w:rsidR="00C70A14" w:rsidRPr="00756531">
        <w:rPr>
          <w:b/>
          <w:bCs/>
          <w:i/>
          <w:iCs/>
          <w:color w:val="FF6500"/>
        </w:rPr>
        <w:t>.</w:t>
      </w:r>
      <w:r w:rsidR="00913D51" w:rsidRPr="00756531">
        <w:rPr>
          <w:b/>
          <w:bCs/>
          <w:i/>
          <w:iCs/>
          <w:color w:val="FF6500"/>
        </w:rPr>
        <w:t>0</w:t>
      </w:r>
      <w:r w:rsidR="008F6E90" w:rsidRPr="00756531">
        <w:rPr>
          <w:b/>
          <w:bCs/>
          <w:i/>
          <w:iCs/>
          <w:color w:val="FF6500"/>
        </w:rPr>
        <w:t xml:space="preserve"> million </w:t>
      </w:r>
      <w:r w:rsidR="00913D51" w:rsidRPr="00756531">
        <w:rPr>
          <w:b/>
          <w:bCs/>
          <w:i/>
          <w:iCs/>
          <w:color w:val="FF6500"/>
        </w:rPr>
        <w:t xml:space="preserve">share </w:t>
      </w:r>
      <w:r w:rsidR="008F6E90" w:rsidRPr="00756531">
        <w:rPr>
          <w:b/>
          <w:bCs/>
          <w:i/>
          <w:iCs/>
          <w:color w:val="FF6500"/>
        </w:rPr>
        <w:t>buyback programme extension</w:t>
      </w:r>
      <w:r w:rsidR="00770437" w:rsidRPr="00756531">
        <w:rPr>
          <w:b/>
          <w:bCs/>
          <w:i/>
          <w:iCs/>
          <w:color w:val="FF6500"/>
        </w:rPr>
        <w:t xml:space="preserve"> </w:t>
      </w:r>
    </w:p>
    <w:p w14:paraId="53377CE4" w14:textId="41C7B333" w:rsidR="00914E5E" w:rsidRPr="00756531" w:rsidRDefault="00BD0752" w:rsidP="00914E5E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756531">
        <w:rPr>
          <w:rFonts w:ascii="Times New Roman" w:eastAsia="Calibri" w:hAnsi="Times New Roman" w:cs="Times New Roman"/>
          <w:sz w:val="20"/>
          <w:szCs w:val="20"/>
          <w:lang w:val="en-GB"/>
        </w:rPr>
        <w:t>Lion Finance Group PLC (</w:t>
      </w:r>
      <w:r w:rsidRPr="00756531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the </w:t>
      </w:r>
      <w:r w:rsidRPr="00756531">
        <w:rPr>
          <w:rFonts w:ascii="Times New Roman" w:eastAsia="Calibri" w:hAnsi="Times New Roman" w:cs="Times New Roman"/>
          <w:sz w:val="20"/>
          <w:szCs w:val="20"/>
          <w:lang w:val="en-GB"/>
        </w:rPr>
        <w:t>"</w:t>
      </w:r>
      <w:r w:rsidRPr="0075653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Company</w:t>
      </w:r>
      <w:r w:rsidRPr="00756531">
        <w:rPr>
          <w:rFonts w:ascii="Times New Roman" w:eastAsia="Calibri" w:hAnsi="Times New Roman" w:cs="Times New Roman"/>
          <w:sz w:val="20"/>
          <w:szCs w:val="20"/>
          <w:lang w:val="en-GB"/>
        </w:rPr>
        <w:t>"</w:t>
      </w:r>
      <w:r w:rsidR="00766F82" w:rsidRPr="0075653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or the “</w:t>
      </w:r>
      <w:r w:rsidR="00766F82" w:rsidRPr="00756531">
        <w:rPr>
          <w:rFonts w:ascii="Times New Roman" w:eastAsia="Calibri" w:hAnsi="Times New Roman" w:cs="Times New Roman"/>
          <w:b/>
          <w:bCs/>
          <w:sz w:val="20"/>
          <w:szCs w:val="20"/>
          <w:lang w:val="en-GB"/>
        </w:rPr>
        <w:t>Group</w:t>
      </w:r>
      <w:r w:rsidR="00766F82" w:rsidRPr="00756531">
        <w:rPr>
          <w:rFonts w:ascii="Times New Roman" w:eastAsia="Calibri" w:hAnsi="Times New Roman" w:cs="Times New Roman"/>
          <w:sz w:val="20"/>
          <w:szCs w:val="20"/>
          <w:lang w:val="en-GB"/>
        </w:rPr>
        <w:t>”</w:t>
      </w:r>
      <w:r w:rsidRPr="00756531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) </w:t>
      </w:r>
      <w:r w:rsidR="003521E4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announces today that its Board of Directors (the "</w:t>
      </w:r>
      <w:r w:rsidR="003521E4" w:rsidRPr="00756531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Board</w:t>
      </w:r>
      <w:r w:rsidR="003521E4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") has approved a GEL </w:t>
      </w:r>
      <w:r w:rsidR="00913D51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5</w:t>
      </w:r>
      <w:r w:rsidR="00E555D0">
        <w:rPr>
          <w:rFonts w:ascii="Times New Roman" w:eastAsia="Times New Roman" w:hAnsi="Times New Roman" w:cs="Times New Roman"/>
          <w:sz w:val="20"/>
          <w:szCs w:val="20"/>
          <w:lang w:val="en-GB"/>
        </w:rPr>
        <w:t>9</w:t>
      </w:r>
      <w:r w:rsidR="00913D51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.0</w:t>
      </w:r>
      <w:r w:rsidR="003521E4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million extension to the buyback and cancellation programme (the "</w:t>
      </w:r>
      <w:r w:rsidR="003521E4" w:rsidRPr="00756531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Programme</w:t>
      </w:r>
      <w:r w:rsidR="003521E4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").  The Programme is consistent with the Group's capital </w:t>
      </w:r>
      <w:r w:rsidR="008F5B26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return</w:t>
      </w:r>
      <w:r w:rsidR="003521E4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policy to target a dividend/share buyback payout ratio in the range of 30-50% of annual profits.</w:t>
      </w:r>
    </w:p>
    <w:p w14:paraId="19FD8D10" w14:textId="602FBF7C" w:rsidR="003521E4" w:rsidRPr="00D83148" w:rsidRDefault="003521E4" w:rsidP="00914E5E">
      <w:pPr>
        <w:autoSpaceDE w:val="0"/>
        <w:autoSpaceDN w:val="0"/>
        <w:jc w:val="both"/>
        <w:rPr>
          <w:rFonts w:eastAsia="Times New Roman"/>
          <w:sz w:val="20"/>
          <w:szCs w:val="20"/>
          <w:highlight w:val="yellow"/>
          <w:lang w:val="en-GB"/>
        </w:rPr>
      </w:pPr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The programme will commence shortly and end no later than the Company's Annual General Meeting 202</w:t>
      </w:r>
      <w:r w:rsidR="00E555D0">
        <w:rPr>
          <w:rFonts w:ascii="Times New Roman" w:eastAsia="Times New Roman" w:hAnsi="Times New Roman" w:cs="Times New Roman"/>
          <w:sz w:val="20"/>
          <w:szCs w:val="20"/>
          <w:lang w:val="en-GB"/>
        </w:rPr>
        <w:t>7</w:t>
      </w:r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(</w:t>
      </w:r>
      <w:r w:rsidR="00E555D0">
        <w:rPr>
          <w:rFonts w:ascii="Times New Roman" w:eastAsia="Times New Roman" w:hAnsi="Times New Roman" w:cs="Times New Roman"/>
          <w:sz w:val="20"/>
          <w:szCs w:val="20"/>
          <w:lang w:val="en-GB"/>
        </w:rPr>
        <w:t>expected to be in May 2027</w:t>
      </w:r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)</w:t>
      </w:r>
      <w:r w:rsidR="00913D51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. </w:t>
      </w:r>
      <w:r w:rsidR="005240F2"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The shares will be purchased in the open market.  </w:t>
      </w:r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The purpose of the buyback is to reduce the Group's share capital, and the cancellation of the treasury shares repurchased will be executed </w:t>
      </w:r>
      <w:proofErr w:type="gramStart"/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on a monthly basis</w:t>
      </w:r>
      <w:proofErr w:type="gramEnd"/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. The Programme will be conducted within certain pre-set parameters, and in accordance with the general authority to repurchase shares granted at the 202</w:t>
      </w:r>
      <w:r w:rsidR="00E555D0">
        <w:rPr>
          <w:rFonts w:ascii="Times New Roman" w:eastAsia="Times New Roman" w:hAnsi="Times New Roman" w:cs="Times New Roman"/>
          <w:sz w:val="20"/>
          <w:szCs w:val="20"/>
          <w:lang w:val="en-GB"/>
        </w:rPr>
        <w:t>6</w:t>
      </w:r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Annual General Meeting, Chapter 9 of the FCA UK Listing Rules, and the provisions of the Market Abuse Regulation 596/2014/EU and of the Commission Delegated Regulation (EU) 2016/1052 (as they form part of UK domestic law). The maximum number of shares that may be repurchased under the programme is </w:t>
      </w:r>
      <w:r w:rsidR="00F13261" w:rsidRPr="00F13261">
        <w:rPr>
          <w:rFonts w:ascii="Times New Roman" w:eastAsia="Times New Roman" w:hAnsi="Times New Roman" w:cs="Times New Roman"/>
          <w:sz w:val="20"/>
          <w:szCs w:val="20"/>
          <w:lang w:val="en-GB"/>
        </w:rPr>
        <w:t>4,220,498</w:t>
      </w:r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. The Company has appointed Cavendish Capital Markets Limited ("</w:t>
      </w:r>
      <w:r w:rsidRPr="00756531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Cavendish</w:t>
      </w:r>
      <w:r w:rsidRPr="00756531">
        <w:rPr>
          <w:rFonts w:ascii="Times New Roman" w:eastAsia="Times New Roman" w:hAnsi="Times New Roman" w:cs="Times New Roman"/>
          <w:sz w:val="20"/>
          <w:szCs w:val="20"/>
          <w:lang w:val="en-GB"/>
        </w:rPr>
        <w:t>") to manage the Programme. During any closed periods the Company and its directors have no power to invoke any changes to the Programme and it will be executed</w:t>
      </w:r>
      <w:r w:rsidRPr="003521E4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at the sole discretion of Cavendish.</w:t>
      </w:r>
    </w:p>
    <w:p w14:paraId="2F194D32" w14:textId="77777777" w:rsidR="003521E4" w:rsidRPr="003521E4" w:rsidRDefault="003521E4" w:rsidP="003521E4">
      <w:pPr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3521E4">
        <w:rPr>
          <w:rFonts w:ascii="Times New Roman" w:eastAsia="Times New Roman" w:hAnsi="Times New Roman" w:cs="Times New Roman"/>
          <w:sz w:val="20"/>
          <w:szCs w:val="20"/>
          <w:lang w:val="en-GB"/>
        </w:rPr>
        <w:t> </w:t>
      </w:r>
    </w:p>
    <w:p w14:paraId="78B33B58" w14:textId="77777777" w:rsidR="003521E4" w:rsidRPr="003521E4" w:rsidRDefault="003521E4" w:rsidP="003521E4">
      <w:pPr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3521E4">
        <w:rPr>
          <w:rFonts w:ascii="Times New Roman" w:eastAsia="Times New Roman" w:hAnsi="Times New Roman" w:cs="Times New Roman"/>
          <w:sz w:val="20"/>
          <w:szCs w:val="20"/>
          <w:lang w:val="en-GB"/>
        </w:rPr>
        <w:t>The Company will make further announcements in due course following the completion of any share repurchases.</w:t>
      </w:r>
    </w:p>
    <w:p w14:paraId="2C8C0424" w14:textId="4D36B7DD" w:rsidR="00EF2DDE" w:rsidRPr="003521E4" w:rsidRDefault="003521E4" w:rsidP="003521E4">
      <w:pPr>
        <w:suppressAutoHyphens w:val="0"/>
        <w:autoSpaceDE w:val="0"/>
        <w:autoSpaceDN w:val="0"/>
        <w:spacing w:after="0" w:line="240" w:lineRule="auto"/>
        <w:jc w:val="both"/>
        <w:rPr>
          <w:rStyle w:val="be"/>
          <w:rFonts w:ascii="Times New Roman" w:eastAsia="Times New Roman" w:hAnsi="Times New Roman" w:cs="Times New Roman"/>
          <w:sz w:val="20"/>
          <w:szCs w:val="20"/>
          <w:lang w:val="en-GB"/>
        </w:rPr>
      </w:pPr>
      <w:r w:rsidRPr="003521E4">
        <w:rPr>
          <w:rFonts w:ascii="Times New Roman" w:eastAsia="Times New Roman" w:hAnsi="Times New Roman" w:cs="Times New Roman"/>
          <w:sz w:val="20"/>
          <w:szCs w:val="20"/>
          <w:lang w:val="en-GB"/>
        </w:rPr>
        <w:t> </w:t>
      </w:r>
    </w:p>
    <w:p w14:paraId="1BFDE783" w14:textId="09700010" w:rsidR="008E773A" w:rsidRDefault="008E773A" w:rsidP="00E9258F">
      <w:pPr>
        <w:jc w:val="both"/>
        <w:rPr>
          <w:rStyle w:val="be"/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</w:pPr>
    </w:p>
    <w:p w14:paraId="503004C8" w14:textId="77777777" w:rsidR="00EF2DDE" w:rsidRPr="008E773A" w:rsidRDefault="00EF2DDE" w:rsidP="008E773A">
      <w:pPr>
        <w:jc w:val="both"/>
        <w:rPr>
          <w:rStyle w:val="be"/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</w:pPr>
    </w:p>
    <w:p w14:paraId="1172A5F4" w14:textId="5E479CCA" w:rsidR="00BB18B5" w:rsidRDefault="00BB18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6500"/>
          <w:sz w:val="20"/>
          <w:szCs w:val="20"/>
        </w:rPr>
      </w:pPr>
    </w:p>
    <w:p w14:paraId="2D05C96D" w14:textId="520D27C6" w:rsidR="00BB18B5" w:rsidRDefault="00BB18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6500"/>
          <w:sz w:val="20"/>
          <w:szCs w:val="20"/>
        </w:rPr>
      </w:pPr>
    </w:p>
    <w:p w14:paraId="5DBBB437" w14:textId="6EC383AC" w:rsidR="00BB18B5" w:rsidRDefault="00BB18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6500"/>
          <w:sz w:val="20"/>
          <w:szCs w:val="20"/>
        </w:rPr>
      </w:pPr>
    </w:p>
    <w:p w14:paraId="32A69970" w14:textId="3C592AF0" w:rsidR="00BB18B5" w:rsidRDefault="00BB18B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6500"/>
          <w:sz w:val="20"/>
          <w:szCs w:val="20"/>
        </w:rPr>
      </w:pPr>
    </w:p>
    <w:p w14:paraId="426198B4" w14:textId="77777777" w:rsidR="00BB18B5" w:rsidRDefault="00BB18B5">
      <w:pPr>
        <w:spacing w:after="0" w:line="240" w:lineRule="auto"/>
        <w:jc w:val="both"/>
        <w:rPr>
          <w:rFonts w:ascii="Times New Roman" w:hAnsi="Times New Roman" w:cs="Times New Roman"/>
          <w:bCs/>
          <w:color w:val="0D0D0D"/>
          <w:sz w:val="16"/>
          <w:szCs w:val="16"/>
          <w:lang w:val="en-GB" w:eastAsia="en-GB"/>
        </w:rPr>
      </w:pPr>
    </w:p>
    <w:p w14:paraId="639838E7" w14:textId="77777777" w:rsidR="00402A41" w:rsidRDefault="00BB18B5">
      <w:pPr>
        <w:spacing w:line="240" w:lineRule="auto"/>
        <w:jc w:val="both"/>
        <w:rPr>
          <w:rFonts w:ascii="Times New Roman" w:hAnsi="Times New Roman" w:cs="Times New Roman"/>
          <w:bCs/>
          <w:color w:val="0D0D0D"/>
          <w:sz w:val="16"/>
          <w:szCs w:val="16"/>
          <w:lang w:val="en-GB" w:eastAsia="en-GB"/>
        </w:rPr>
      </w:pPr>
      <w:r>
        <w:rPr>
          <w:rFonts w:ascii="Times New Roman" w:hAnsi="Times New Roman" w:cs="Times New Roman"/>
          <w:bCs/>
          <w:color w:val="0D0D0D"/>
          <w:sz w:val="16"/>
          <w:szCs w:val="16"/>
          <w:lang w:val="en-GB" w:eastAsia="en-GB"/>
        </w:rPr>
        <w:t>Name of authorised official of issuer responsible for making notification: Nini Arshakuni, Head of Investor Relations</w:t>
      </w:r>
    </w:p>
    <w:p w14:paraId="61CBE243" w14:textId="77777777" w:rsidR="00402A41" w:rsidRDefault="00BB18B5">
      <w:pPr>
        <w:jc w:val="both"/>
        <w:rPr>
          <w:rFonts w:ascii="Times New Roman" w:hAnsi="Times New Roman" w:cs="Times New Roman"/>
          <w:b/>
          <w:bCs/>
          <w:color w:val="0D0D0D"/>
          <w:sz w:val="16"/>
          <w:szCs w:val="16"/>
          <w:lang w:val="en-GB" w:eastAsia="en-GB"/>
        </w:rPr>
      </w:pPr>
      <w:r>
        <w:rPr>
          <w:rFonts w:ascii="Times New Roman" w:hAnsi="Times New Roman" w:cs="Times New Roman"/>
          <w:b/>
          <w:bCs/>
          <w:color w:val="0D0D0D"/>
          <w:sz w:val="16"/>
          <w:szCs w:val="16"/>
          <w:lang w:val="en-GB" w:eastAsia="en-GB"/>
        </w:rPr>
        <w:t>About Lion Finance Group PLC</w:t>
      </w:r>
    </w:p>
    <w:p w14:paraId="53414FCF" w14:textId="77777777" w:rsidR="00913D51" w:rsidRPr="00913D51" w:rsidRDefault="00913D51" w:rsidP="00913D51">
      <w:pPr>
        <w:jc w:val="both"/>
        <w:rPr>
          <w:rFonts w:ascii="Times New Roman" w:hAnsi="Times New Roman" w:cs="Times New Roman"/>
          <w:sz w:val="14"/>
          <w:szCs w:val="14"/>
          <w:lang w:val="en-GB"/>
        </w:rPr>
      </w:pPr>
      <w:r w:rsidRPr="00913D51">
        <w:rPr>
          <w:rFonts w:ascii="Times New Roman" w:hAnsi="Times New Roman" w:cs="Times New Roman"/>
          <w:sz w:val="14"/>
          <w:szCs w:val="14"/>
          <w:lang w:val="en-GB"/>
        </w:rPr>
        <w:t xml:space="preserve">Lion Finance Group PLC (LSE: BGEO LN) is an LSE-listed company whose main subsidiaries provide banking and financial services focused in the high-growth Georgian and Armenian markets through leading, customer-centric, universal banks - Bank of Georgia in Georgia and </w:t>
      </w:r>
      <w:proofErr w:type="spellStart"/>
      <w:r w:rsidRPr="00913D51">
        <w:rPr>
          <w:rFonts w:ascii="Times New Roman" w:hAnsi="Times New Roman" w:cs="Times New Roman"/>
          <w:sz w:val="14"/>
          <w:szCs w:val="14"/>
          <w:lang w:val="en-GB"/>
        </w:rPr>
        <w:t>Ameriabank</w:t>
      </w:r>
      <w:proofErr w:type="spellEnd"/>
      <w:r w:rsidRPr="00913D51">
        <w:rPr>
          <w:rFonts w:ascii="Times New Roman" w:hAnsi="Times New Roman" w:cs="Times New Roman"/>
          <w:sz w:val="14"/>
          <w:szCs w:val="14"/>
          <w:lang w:val="en-GB"/>
        </w:rPr>
        <w:t xml:space="preserve"> in Armenia. By building on our competitive strengths, we are committed to driving business growth, sustaining high profitability, and generating strong returns, while creating opportunities for our stakeholders and making a positive contribution in the communities where we operate.</w:t>
      </w:r>
    </w:p>
    <w:p w14:paraId="48EB1130" w14:textId="77777777" w:rsidR="00402A41" w:rsidRDefault="00BB18B5">
      <w:pPr>
        <w:jc w:val="both"/>
        <w:rPr>
          <w:rFonts w:ascii="Times New Roman" w:hAnsi="Times New Roman" w:cs="Times New Roman"/>
          <w:b/>
          <w:bCs/>
          <w:color w:val="0D0D0D"/>
          <w:sz w:val="16"/>
          <w:szCs w:val="16"/>
          <w:lang w:val="en-GB" w:eastAsia="en-GB"/>
        </w:rPr>
      </w:pPr>
      <w:r>
        <w:rPr>
          <w:rFonts w:ascii="Times New Roman" w:eastAsia="Calibri" w:hAnsi="Times New Roman" w:cs="Times New Roman"/>
          <w:color w:val="000000" w:themeColor="text1"/>
          <w:sz w:val="14"/>
          <w:szCs w:val="14"/>
        </w:rPr>
        <w:t>Legal Entity Identifier: 213800XKDG12NQG8VC53</w:t>
      </w:r>
    </w:p>
    <w:p w14:paraId="7CFF3C78" w14:textId="65626095" w:rsidR="00402A41" w:rsidRDefault="00BB18B5">
      <w:pPr>
        <w:spacing w:after="0" w:line="240" w:lineRule="auto"/>
        <w:ind w:right="689"/>
        <w:jc w:val="both"/>
        <w:rPr>
          <w:rFonts w:ascii="Times New Roman" w:eastAsia="Calibri" w:hAnsi="Times New Roman" w:cs="Times New Roman"/>
          <w:sz w:val="12"/>
          <w:szCs w:val="12"/>
          <w:lang w:val="en-GB" w:eastAsia="en-GB"/>
        </w:rPr>
      </w:pPr>
      <w:r>
        <w:rPr>
          <w:rFonts w:ascii="Times New Roman" w:hAnsi="Times New Roman" w:cs="Times New Roman"/>
          <w:b/>
          <w:bCs/>
          <w:color w:val="808080"/>
          <w:sz w:val="14"/>
          <w:szCs w:val="14"/>
          <w:lang w:val="en-GB" w:eastAsia="en-GB"/>
        </w:rPr>
        <w:t xml:space="preserve">For further information, please visit </w:t>
      </w:r>
      <w:hyperlink r:id="rId7">
        <w:r>
          <w:rPr>
            <w:rStyle w:val="Hyperlink"/>
            <w:rFonts w:ascii="Times New Roman" w:hAnsi="Times New Roman" w:cs="Times New Roman"/>
            <w:b/>
            <w:bCs/>
            <w:sz w:val="14"/>
            <w:szCs w:val="14"/>
            <w:lang w:val="en-GB" w:eastAsia="en-GB"/>
          </w:rPr>
          <w:t>www.lionfinancegroup.uk</w:t>
        </w:r>
      </w:hyperlink>
      <w:r>
        <w:rPr>
          <w:rFonts w:ascii="Times New Roman" w:hAnsi="Times New Roman" w:cs="Times New Roman"/>
          <w:b/>
          <w:bCs/>
          <w:color w:val="808080"/>
          <w:sz w:val="14"/>
          <w:szCs w:val="14"/>
          <w:lang w:val="en-GB" w:eastAsia="en-GB"/>
        </w:rPr>
        <w:t xml:space="preserve"> </w:t>
      </w:r>
      <w:r w:rsidR="00292358">
        <w:rPr>
          <w:rFonts w:ascii="Times New Roman" w:hAnsi="Times New Roman" w:cs="Times New Roman"/>
          <w:b/>
          <w:bCs/>
          <w:color w:val="808080"/>
          <w:sz w:val="14"/>
          <w:szCs w:val="14"/>
          <w:lang w:val="en-GB" w:eastAsia="en-GB"/>
        </w:rPr>
        <w:t xml:space="preserve">or </w:t>
      </w:r>
      <w:r>
        <w:rPr>
          <w:rFonts w:ascii="Times New Roman" w:hAnsi="Times New Roman" w:cs="Times New Roman"/>
          <w:b/>
          <w:bCs/>
          <w:color w:val="808080"/>
          <w:sz w:val="14"/>
          <w:szCs w:val="14"/>
          <w:lang w:val="en-GB" w:eastAsia="en-GB"/>
        </w:rPr>
        <w:t>contact:</w:t>
      </w:r>
    </w:p>
    <w:p w14:paraId="66BFC638" w14:textId="77777777" w:rsidR="00402A41" w:rsidRDefault="00BB18B5">
      <w:pPr>
        <w:spacing w:after="0" w:line="240" w:lineRule="auto"/>
        <w:ind w:right="689"/>
        <w:jc w:val="both"/>
        <w:rPr>
          <w:rFonts w:ascii="Times New Roman" w:hAnsi="Times New Roman" w:cs="Times New Roman"/>
          <w:b/>
          <w:bCs/>
          <w:color w:val="808080"/>
          <w:sz w:val="14"/>
          <w:szCs w:val="14"/>
          <w:lang w:val="en-GB" w:eastAsia="en-GB"/>
        </w:rPr>
      </w:pPr>
      <w:r>
        <w:rPr>
          <w:rFonts w:ascii="Times New Roman" w:hAnsi="Times New Roman" w:cs="Times New Roman"/>
          <w:b/>
          <w:bCs/>
          <w:color w:val="808080"/>
          <w:sz w:val="14"/>
          <w:szCs w:val="14"/>
          <w:lang w:val="en-GB" w:eastAsia="en-GB"/>
        </w:rPr>
        <w:t xml:space="preserve"> </w:t>
      </w:r>
    </w:p>
    <w:tbl>
      <w:tblPr>
        <w:tblW w:w="4410" w:type="dxa"/>
        <w:tblLayout w:type="fixed"/>
        <w:tblLook w:val="04A0" w:firstRow="1" w:lastRow="0" w:firstColumn="1" w:lastColumn="0" w:noHBand="0" w:noVBand="1"/>
      </w:tblPr>
      <w:tblGrid>
        <w:gridCol w:w="2754"/>
        <w:gridCol w:w="1656"/>
      </w:tblGrid>
      <w:tr w:rsidR="00414F82" w14:paraId="0071C21D" w14:textId="77777777" w:rsidTr="00414F82">
        <w:trPr>
          <w:trHeight w:val="162"/>
        </w:trPr>
        <w:tc>
          <w:tcPr>
            <w:tcW w:w="2754" w:type="dxa"/>
          </w:tcPr>
          <w:p w14:paraId="7CB04228" w14:textId="1B4261FD" w:rsidR="00414F82" w:rsidRDefault="00414F82">
            <w:pPr>
              <w:spacing w:after="0" w:line="240" w:lineRule="auto"/>
              <w:ind w:left="54" w:right="252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  <w:lang w:val="en-GB" w:eastAsia="en-GB"/>
              </w:rPr>
              <w:t>Sam Goodacre</w:t>
            </w:r>
          </w:p>
        </w:tc>
        <w:tc>
          <w:tcPr>
            <w:tcW w:w="1656" w:type="dxa"/>
            <w:tcMar>
              <w:left w:w="0" w:type="dxa"/>
              <w:right w:w="0" w:type="dxa"/>
            </w:tcMar>
          </w:tcPr>
          <w:p w14:paraId="1A5D1816" w14:textId="6D37471E" w:rsidR="00414F82" w:rsidRDefault="00414F82">
            <w:pPr>
              <w:spacing w:after="0" w:line="240" w:lineRule="auto"/>
              <w:ind w:left="54" w:right="252"/>
              <w:jc w:val="both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  <w:lang w:val="en-GB" w:eastAsia="en-GB"/>
              </w:rPr>
              <w:t>Nini Arshakuni</w:t>
            </w:r>
          </w:p>
        </w:tc>
      </w:tr>
      <w:tr w:rsidR="00414F82" w14:paraId="5BF8193D" w14:textId="77777777" w:rsidTr="00414F82">
        <w:trPr>
          <w:trHeight w:val="108"/>
        </w:trPr>
        <w:tc>
          <w:tcPr>
            <w:tcW w:w="2754" w:type="dxa"/>
          </w:tcPr>
          <w:p w14:paraId="0534F4D4" w14:textId="7AE293A1" w:rsidR="00414F82" w:rsidRDefault="00414F82">
            <w:pPr>
              <w:spacing w:after="0" w:line="240" w:lineRule="auto"/>
              <w:ind w:left="54"/>
              <w:jc w:val="both"/>
              <w:rPr>
                <w:rFonts w:ascii="Times New Roman" w:hAnsi="Times New Roman" w:cs="Times New Roman"/>
                <w:color w:val="808080"/>
                <w:sz w:val="14"/>
                <w:szCs w:val="14"/>
                <w:lang w:val="en-GB" w:eastAsia="en-GB"/>
              </w:rPr>
            </w:pPr>
            <w:r>
              <w:rPr>
                <w:rFonts w:ascii="Times New Roman" w:hAnsi="Times New Roman" w:cs="Times New Roman"/>
                <w:color w:val="808080"/>
                <w:sz w:val="14"/>
                <w:szCs w:val="14"/>
                <w:lang w:val="en-GB" w:eastAsia="en-GB"/>
              </w:rPr>
              <w:t>Adviser to the CEO</w:t>
            </w:r>
          </w:p>
        </w:tc>
        <w:tc>
          <w:tcPr>
            <w:tcW w:w="1656" w:type="dxa"/>
            <w:tcMar>
              <w:left w:w="0" w:type="dxa"/>
              <w:right w:w="0" w:type="dxa"/>
            </w:tcMar>
          </w:tcPr>
          <w:p w14:paraId="0927EE92" w14:textId="10E6E6E7" w:rsidR="00414F82" w:rsidRDefault="00414F82">
            <w:pPr>
              <w:spacing w:after="0" w:line="240" w:lineRule="auto"/>
              <w:ind w:left="54"/>
              <w:jc w:val="both"/>
              <w:rPr>
                <w:rFonts w:ascii="Times New Roman" w:hAnsi="Times New Roman" w:cs="Times New Roman"/>
                <w:color w:val="808080"/>
                <w:sz w:val="14"/>
                <w:szCs w:val="14"/>
                <w:lang w:val="en-GB" w:eastAsia="en-GB"/>
              </w:rPr>
            </w:pPr>
            <w:r>
              <w:rPr>
                <w:rFonts w:ascii="Times New Roman" w:hAnsi="Times New Roman" w:cs="Times New Roman"/>
                <w:color w:val="808080"/>
                <w:sz w:val="14"/>
                <w:szCs w:val="14"/>
                <w:lang w:val="en-GB" w:eastAsia="en-GB"/>
              </w:rPr>
              <w:t>Head of Investor Relations</w:t>
            </w:r>
          </w:p>
        </w:tc>
      </w:tr>
      <w:tr w:rsidR="00414F82" w14:paraId="0D1D8FF6" w14:textId="77777777" w:rsidTr="00414F82">
        <w:tc>
          <w:tcPr>
            <w:tcW w:w="2754" w:type="dxa"/>
          </w:tcPr>
          <w:p w14:paraId="4D4AD0E7" w14:textId="42BD7B43" w:rsidR="00414F82" w:rsidRDefault="00414F82">
            <w:pPr>
              <w:spacing w:after="0" w:line="240" w:lineRule="auto"/>
              <w:ind w:left="54"/>
              <w:jc w:val="both"/>
              <w:rPr>
                <w:rFonts w:ascii="Times New Roman" w:hAnsi="Times New Roman" w:cs="Times New Roman"/>
                <w:color w:val="808080"/>
                <w:sz w:val="14"/>
                <w:szCs w:val="14"/>
                <w:lang w:val="en-GB" w:eastAsia="en-GB"/>
              </w:rPr>
            </w:pPr>
            <w:r>
              <w:rPr>
                <w:rFonts w:ascii="Times New Roman" w:hAnsi="Times New Roman" w:cs="Times New Roman"/>
                <w:color w:val="808080"/>
                <w:sz w:val="14"/>
                <w:szCs w:val="14"/>
                <w:lang w:val="en-GB" w:eastAsia="en-GB"/>
              </w:rPr>
              <w:t>+44 203 178 4034</w:t>
            </w:r>
          </w:p>
        </w:tc>
        <w:tc>
          <w:tcPr>
            <w:tcW w:w="1656" w:type="dxa"/>
            <w:tcMar>
              <w:left w:w="0" w:type="dxa"/>
              <w:right w:w="0" w:type="dxa"/>
            </w:tcMar>
          </w:tcPr>
          <w:p w14:paraId="3CE08A11" w14:textId="5BA11260" w:rsidR="00414F82" w:rsidRDefault="00414F82">
            <w:pPr>
              <w:spacing w:after="0" w:line="240" w:lineRule="auto"/>
              <w:ind w:left="54"/>
              <w:jc w:val="both"/>
              <w:rPr>
                <w:rFonts w:ascii="Times New Roman" w:hAnsi="Times New Roman" w:cs="Times New Roman"/>
                <w:color w:val="808080"/>
                <w:sz w:val="14"/>
                <w:szCs w:val="14"/>
                <w:lang w:val="en-GB" w:eastAsia="en-GB"/>
              </w:rPr>
            </w:pPr>
            <w:r>
              <w:rPr>
                <w:rFonts w:ascii="Times New Roman" w:hAnsi="Times New Roman" w:cs="Times New Roman"/>
                <w:color w:val="808080"/>
                <w:sz w:val="14"/>
                <w:szCs w:val="14"/>
                <w:lang w:val="en-GB" w:eastAsia="en-GB"/>
              </w:rPr>
              <w:t>+44 203 178 4034</w:t>
            </w:r>
          </w:p>
        </w:tc>
      </w:tr>
      <w:tr w:rsidR="00414F82" w14:paraId="52E9392C" w14:textId="77777777" w:rsidTr="00414F82">
        <w:tc>
          <w:tcPr>
            <w:tcW w:w="2754" w:type="dxa"/>
          </w:tcPr>
          <w:p w14:paraId="2530EEB1" w14:textId="6C678288" w:rsidR="00414F82" w:rsidRDefault="00414F82">
            <w:pPr>
              <w:spacing w:after="0" w:line="240" w:lineRule="auto"/>
              <w:ind w:left="54" w:right="252"/>
              <w:jc w:val="both"/>
              <w:rPr>
                <w:rStyle w:val="Hyperlink"/>
                <w:rFonts w:ascii="Times New Roman" w:hAnsi="Times New Roman" w:cs="Times New Roman"/>
                <w:sz w:val="14"/>
                <w:szCs w:val="14"/>
                <w:lang w:val="en-GB" w:eastAsia="en-GB"/>
              </w:rPr>
            </w:pPr>
            <w:hyperlink r:id="rId8" w:history="1">
              <w:r w:rsidRPr="00292358">
                <w:rPr>
                  <w:rStyle w:val="Hyperlink"/>
                  <w:rFonts w:ascii="Times New Roman" w:hAnsi="Times New Roman" w:cs="Times New Roman"/>
                  <w:sz w:val="14"/>
                  <w:szCs w:val="14"/>
                  <w:lang w:val="en-GB" w:eastAsia="en-GB"/>
                </w:rPr>
                <w:t>sgoodacre@lfg.uk</w:t>
              </w:r>
            </w:hyperlink>
          </w:p>
        </w:tc>
        <w:tc>
          <w:tcPr>
            <w:tcW w:w="1656" w:type="dxa"/>
            <w:tcMar>
              <w:left w:w="0" w:type="dxa"/>
              <w:right w:w="0" w:type="dxa"/>
            </w:tcMar>
          </w:tcPr>
          <w:p w14:paraId="2793246D" w14:textId="25F2F862" w:rsidR="00414F82" w:rsidRDefault="00414F82">
            <w:pPr>
              <w:spacing w:after="0" w:line="240" w:lineRule="auto"/>
              <w:ind w:left="54" w:right="252"/>
              <w:jc w:val="both"/>
              <w:rPr>
                <w:rStyle w:val="Hyperlink"/>
                <w:rFonts w:ascii="Times New Roman" w:hAnsi="Times New Roman" w:cs="Times New Roman"/>
              </w:rPr>
            </w:pPr>
            <w:r>
              <w:rPr>
                <w:rStyle w:val="Hyperlink"/>
                <w:rFonts w:ascii="Times New Roman" w:hAnsi="Times New Roman" w:cs="Times New Roman"/>
                <w:sz w:val="14"/>
                <w:szCs w:val="14"/>
                <w:lang w:val="en-GB" w:eastAsia="en-GB"/>
              </w:rPr>
              <w:t>ir@lfg.uk</w:t>
            </w:r>
          </w:p>
        </w:tc>
      </w:tr>
    </w:tbl>
    <w:p w14:paraId="58432313" w14:textId="77777777" w:rsidR="00402A41" w:rsidRDefault="00402A41">
      <w:pPr>
        <w:spacing w:after="0" w:line="240" w:lineRule="auto"/>
        <w:ind w:right="689"/>
        <w:jc w:val="both"/>
        <w:rPr>
          <w:rFonts w:ascii="Times New Roman" w:hAnsi="Times New Roman" w:cs="Times New Roman"/>
          <w:color w:val="808080"/>
          <w:sz w:val="12"/>
          <w:szCs w:val="12"/>
          <w:lang w:val="en-GB" w:eastAsia="en-GB"/>
        </w:rPr>
      </w:pPr>
    </w:p>
    <w:p w14:paraId="22A584CB" w14:textId="77777777" w:rsidR="00402A41" w:rsidRDefault="00402A41">
      <w:pPr>
        <w:spacing w:after="0" w:line="240" w:lineRule="auto"/>
        <w:ind w:right="689"/>
        <w:jc w:val="both"/>
        <w:rPr>
          <w:rFonts w:ascii="Times New Roman" w:eastAsia="Calibri" w:hAnsi="Times New Roman" w:cs="Times New Roman"/>
          <w:sz w:val="12"/>
          <w:szCs w:val="12"/>
          <w:lang w:val="en-GB" w:eastAsia="en-GB"/>
        </w:rPr>
      </w:pPr>
    </w:p>
    <w:p w14:paraId="42E42102" w14:textId="65A1D09E" w:rsidR="00402A41" w:rsidRDefault="003521E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en-GB" w:eastAsia="en-GB"/>
        </w:rPr>
      </w:pPr>
      <w:r>
        <w:rPr>
          <w:noProof/>
        </w:rPr>
        <mc:AlternateContent>
          <mc:Choice Requires="wps">
            <w:drawing>
              <wp:inline distT="0" distB="0" distL="0" distR="0" wp14:anchorId="53BEF014" wp14:editId="18BEAA8E">
                <wp:extent cx="5765165" cy="7620"/>
                <wp:effectExtent l="0" t="3175" r="0" b="0"/>
                <wp:docPr id="12234579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165" cy="762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41B9BD" id="Rectangle 2" o:spid="_x0000_s1026" style="width:453.95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" fillcolor="#a0a0a0" stroked="f" strokeweight="0">
                <w10:anchorlock/>
              </v:rect>
            </w:pict>
          </mc:Fallback>
        </mc:AlternateContent>
      </w:r>
    </w:p>
    <w:p w14:paraId="44D32B95" w14:textId="77777777" w:rsidR="00402A41" w:rsidRDefault="00BB18B5">
      <w:pPr>
        <w:spacing w:after="120"/>
        <w:jc w:val="both"/>
      </w:pPr>
      <w:r>
        <w:rPr>
          <w:rFonts w:ascii="Times New Roman" w:hAnsi="Times New Roman" w:cs="Times New Roman"/>
          <w:i/>
          <w:iCs/>
          <w:color w:val="808080"/>
          <w:sz w:val="12"/>
          <w:szCs w:val="12"/>
          <w:lang w:eastAsia="en-GB"/>
        </w:rPr>
        <w:t>This news report is presented for general informational purposes only and should not be construed as an offer to sell or the solicitation of an offer to buy any securities</w:t>
      </w:r>
    </w:p>
    <w:sectPr w:rsidR="00402A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10F7" w14:textId="77777777" w:rsidR="000D7B07" w:rsidRDefault="000D7B07">
      <w:pPr>
        <w:spacing w:after="0" w:line="240" w:lineRule="auto"/>
      </w:pPr>
      <w:r>
        <w:separator/>
      </w:r>
    </w:p>
  </w:endnote>
  <w:endnote w:type="continuationSeparator" w:id="0">
    <w:p w14:paraId="4276C6BD" w14:textId="77777777" w:rsidR="000D7B07" w:rsidRDefault="000D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 LT CYR 57 Cond">
    <w:altName w:val="Calibri"/>
    <w:charset w:val="A1"/>
    <w:family w:val="auto"/>
    <w:pitch w:val="variable"/>
    <w:sig w:usb0="8000028B" w:usb1="1000004A" w:usb2="00000000" w:usb3="00000000" w:csb0="0000000C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48397" w14:textId="77777777" w:rsidR="00402A41" w:rsidRDefault="00402A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3C77" w14:textId="77777777" w:rsidR="00402A41" w:rsidRDefault="00402A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1D09" w14:textId="77777777" w:rsidR="00402A41" w:rsidRDefault="00402A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4FF8C" w14:textId="77777777" w:rsidR="000D7B07" w:rsidRDefault="000D7B07">
      <w:pPr>
        <w:spacing w:after="0" w:line="240" w:lineRule="auto"/>
      </w:pPr>
      <w:r>
        <w:separator/>
      </w:r>
    </w:p>
  </w:footnote>
  <w:footnote w:type="continuationSeparator" w:id="0">
    <w:p w14:paraId="2881CBEE" w14:textId="77777777" w:rsidR="000D7B07" w:rsidRDefault="000D7B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04447" w14:textId="77777777" w:rsidR="00402A41" w:rsidRDefault="00402A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8332" w14:textId="77777777" w:rsidR="00402A41" w:rsidRDefault="00402A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AB66" w14:textId="77777777" w:rsidR="00402A41" w:rsidRDefault="00402A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41"/>
    <w:rsid w:val="00025CE8"/>
    <w:rsid w:val="000272DE"/>
    <w:rsid w:val="00053512"/>
    <w:rsid w:val="000D7B07"/>
    <w:rsid w:val="001A1F27"/>
    <w:rsid w:val="001A20C8"/>
    <w:rsid w:val="001C40BB"/>
    <w:rsid w:val="00245DAB"/>
    <w:rsid w:val="00292358"/>
    <w:rsid w:val="002A58A4"/>
    <w:rsid w:val="003521E4"/>
    <w:rsid w:val="00372C89"/>
    <w:rsid w:val="00390599"/>
    <w:rsid w:val="003E03C8"/>
    <w:rsid w:val="003E0880"/>
    <w:rsid w:val="00402A41"/>
    <w:rsid w:val="004143BB"/>
    <w:rsid w:val="00414F82"/>
    <w:rsid w:val="00465499"/>
    <w:rsid w:val="004A113D"/>
    <w:rsid w:val="004B0885"/>
    <w:rsid w:val="004D6BA6"/>
    <w:rsid w:val="0050095D"/>
    <w:rsid w:val="005240F2"/>
    <w:rsid w:val="005916F4"/>
    <w:rsid w:val="005E5E45"/>
    <w:rsid w:val="005F379C"/>
    <w:rsid w:val="00604922"/>
    <w:rsid w:val="006173D2"/>
    <w:rsid w:val="00624E5B"/>
    <w:rsid w:val="00626A62"/>
    <w:rsid w:val="006A5F89"/>
    <w:rsid w:val="006E3DFB"/>
    <w:rsid w:val="00736B2C"/>
    <w:rsid w:val="007447F7"/>
    <w:rsid w:val="00756531"/>
    <w:rsid w:val="00766F82"/>
    <w:rsid w:val="00770437"/>
    <w:rsid w:val="007A4BB0"/>
    <w:rsid w:val="007C12DB"/>
    <w:rsid w:val="007E61FA"/>
    <w:rsid w:val="00804C66"/>
    <w:rsid w:val="008E773A"/>
    <w:rsid w:val="008F5B26"/>
    <w:rsid w:val="008F6E90"/>
    <w:rsid w:val="00913D51"/>
    <w:rsid w:val="00914E5E"/>
    <w:rsid w:val="00962FAD"/>
    <w:rsid w:val="009B33D2"/>
    <w:rsid w:val="009D7110"/>
    <w:rsid w:val="00AA54F3"/>
    <w:rsid w:val="00AD7CC5"/>
    <w:rsid w:val="00B12626"/>
    <w:rsid w:val="00B33BC6"/>
    <w:rsid w:val="00BB18B5"/>
    <w:rsid w:val="00BD0752"/>
    <w:rsid w:val="00C368A5"/>
    <w:rsid w:val="00C51CC6"/>
    <w:rsid w:val="00C53F15"/>
    <w:rsid w:val="00C70A14"/>
    <w:rsid w:val="00C71569"/>
    <w:rsid w:val="00C8624A"/>
    <w:rsid w:val="00CA312A"/>
    <w:rsid w:val="00CF4D15"/>
    <w:rsid w:val="00D00977"/>
    <w:rsid w:val="00D36CD4"/>
    <w:rsid w:val="00D569E2"/>
    <w:rsid w:val="00D65F72"/>
    <w:rsid w:val="00D83148"/>
    <w:rsid w:val="00E555D0"/>
    <w:rsid w:val="00E567A7"/>
    <w:rsid w:val="00E9258F"/>
    <w:rsid w:val="00E96DD4"/>
    <w:rsid w:val="00ED23D5"/>
    <w:rsid w:val="00EE3D1E"/>
    <w:rsid w:val="00EF13AD"/>
    <w:rsid w:val="00EF2DDE"/>
    <w:rsid w:val="00F10646"/>
    <w:rsid w:val="00F13261"/>
    <w:rsid w:val="00F3084C"/>
    <w:rsid w:val="00F3285A"/>
    <w:rsid w:val="00F7259C"/>
    <w:rsid w:val="00F7395A"/>
    <w:rsid w:val="00F93F55"/>
    <w:rsid w:val="00FD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08344"/>
  <w15:docId w15:val="{735AB04E-A2A0-4A8B-B028-D313C068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4A5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4A5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434A5"/>
  </w:style>
  <w:style w:type="character" w:customStyle="1" w:styleId="ar">
    <w:name w:val="ar"/>
    <w:qFormat/>
    <w:rsid w:val="00F434A5"/>
  </w:style>
  <w:style w:type="character" w:customStyle="1" w:styleId="bl">
    <w:name w:val="bl"/>
    <w:qFormat/>
    <w:rsid w:val="00F434A5"/>
  </w:style>
  <w:style w:type="character" w:customStyle="1" w:styleId="bh">
    <w:name w:val="bh"/>
    <w:basedOn w:val="DefaultParagraphFont"/>
    <w:qFormat/>
    <w:rsid w:val="00ED4A73"/>
  </w:style>
  <w:style w:type="character" w:customStyle="1" w:styleId="be">
    <w:name w:val="be"/>
    <w:basedOn w:val="DefaultParagraphFont"/>
    <w:qFormat/>
    <w:rsid w:val="00ED4A73"/>
  </w:style>
  <w:style w:type="character" w:styleId="CommentReference">
    <w:name w:val="annotation reference"/>
    <w:basedOn w:val="DefaultParagraphFont"/>
    <w:uiPriority w:val="99"/>
    <w:semiHidden/>
    <w:unhideWhenUsed/>
    <w:qFormat/>
    <w:rsid w:val="0052602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52602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52602A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2602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F31A7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D43E1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unhideWhenUsed/>
    <w:rsid w:val="00F434A5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cy">
    <w:name w:val="cy"/>
    <w:basedOn w:val="Normal"/>
    <w:qFormat/>
    <w:rsid w:val="00F434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z">
    <w:name w:val="cz"/>
    <w:basedOn w:val="Normal"/>
    <w:qFormat/>
    <w:rsid w:val="00F434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">
    <w:name w:val="da"/>
    <w:basedOn w:val="Normal"/>
    <w:qFormat/>
    <w:rsid w:val="00F434A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434A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bt">
    <w:name w:val="bt"/>
    <w:basedOn w:val="Normal"/>
    <w:qFormat/>
    <w:rsid w:val="00ED4A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k">
    <w:name w:val="k"/>
    <w:basedOn w:val="Normal"/>
    <w:qFormat/>
    <w:rsid w:val="00ED4A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u">
    <w:name w:val="bu"/>
    <w:basedOn w:val="Normal"/>
    <w:qFormat/>
    <w:rsid w:val="00ED4A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52602A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52602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2602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9F31A7"/>
  </w:style>
  <w:style w:type="paragraph" w:styleId="Header">
    <w:name w:val="header"/>
    <w:basedOn w:val="Normal"/>
    <w:link w:val="HeaderChar"/>
    <w:uiPriority w:val="99"/>
    <w:unhideWhenUsed/>
    <w:rsid w:val="009D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2">
    <w:name w:val="A2"/>
    <w:basedOn w:val="DefaultParagraphFont"/>
    <w:uiPriority w:val="99"/>
    <w:rsid w:val="00292358"/>
    <w:rPr>
      <w:rFonts w:ascii="HelveticaNeue LT CYR 57 Cond" w:hAnsi="HelveticaNeue LT CYR 57 Cond" w:hint="default"/>
      <w:color w:val="FFFFFF"/>
    </w:rPr>
  </w:style>
  <w:style w:type="character" w:styleId="FollowedHyperlink">
    <w:name w:val="FollowedHyperlink"/>
    <w:basedOn w:val="DefaultParagraphFont"/>
    <w:uiPriority w:val="99"/>
    <w:semiHidden/>
    <w:unhideWhenUsed/>
    <w:rsid w:val="005F379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831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oodacre@lfg.u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lionfinancegroup.uk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Wooldridge</dc:creator>
  <dc:description/>
  <cp:lastModifiedBy>Rebecca Wooldridge</cp:lastModifiedBy>
  <cp:revision>2</cp:revision>
  <cp:lastPrinted>2025-02-07T06:50:00Z</cp:lastPrinted>
  <dcterms:created xsi:type="dcterms:W3CDTF">2026-08-05T12:45:00Z</dcterms:created>
  <dcterms:modified xsi:type="dcterms:W3CDTF">2026-08-05T12:45:00Z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{783C1269-4627-4DE3-A0D2-4BD1C94FA03F} {BD15A7F3-68A3-44DA-88DE-84F8F8C88452}</vt:lpwstr>
  </property>
  <property fmtid="{D5CDD505-2E9C-101B-9397-08002B2CF9AE}" pid="3" name="DLPManualFileClassificationLastModificationDate">
    <vt:lpwstr>1738577174</vt:lpwstr>
  </property>
  <property fmtid="{D5CDD505-2E9C-101B-9397-08002B2CF9AE}" pid="4" name="DLPManualFileClassificationLastModifiedBy">
    <vt:lpwstr>BOG0\narshakuni</vt:lpwstr>
  </property>
  <property fmtid="{D5CDD505-2E9C-101B-9397-08002B2CF9AE}" pid="5" name="DLPManualFileClassificationVersion">
    <vt:lpwstr>11.11.0.138</vt:lpwstr>
  </property>
</Properties>
</file>